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A2024" w14:textId="77777777" w:rsidR="00DD26FB" w:rsidRDefault="00DD26FB" w:rsidP="00DD26FB">
      <w:pPr>
        <w:spacing w:after="0"/>
        <w:ind w:left="-1440" w:right="10694"/>
      </w:pPr>
    </w:p>
    <w:p w14:paraId="7EEFB1A8" w14:textId="77777777" w:rsidR="00DD26FB" w:rsidRDefault="00DD26FB" w:rsidP="00DD26FB">
      <w:pPr>
        <w:rPr>
          <w:sz w:val="36"/>
        </w:rPr>
      </w:pPr>
    </w:p>
    <w:p w14:paraId="4C7F7D28" w14:textId="77777777" w:rsidR="00DD26FB" w:rsidRDefault="00DD26FB" w:rsidP="00DD26FB">
      <w:pPr>
        <w:rPr>
          <w:sz w:val="36"/>
        </w:rPr>
      </w:pPr>
    </w:p>
    <w:p w14:paraId="51F13C93" w14:textId="77777777" w:rsidR="00DD26FB" w:rsidRDefault="00DD26FB" w:rsidP="00DD26FB">
      <w:pPr>
        <w:jc w:val="center"/>
        <w:rPr>
          <w:sz w:val="36"/>
        </w:rPr>
      </w:pPr>
      <w:r>
        <w:rPr>
          <w:noProof/>
          <w:sz w:val="36"/>
          <w:lang w:eastAsia="es-GT"/>
        </w:rPr>
        <w:drawing>
          <wp:inline distT="0" distB="0" distL="0" distR="0" wp14:anchorId="23C1CD17" wp14:editId="5CE5A0C7">
            <wp:extent cx="3101340" cy="130302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DB376" w14:textId="77777777" w:rsidR="00DD26FB" w:rsidRDefault="00DD26FB" w:rsidP="00DD26FB">
      <w:pPr>
        <w:rPr>
          <w:sz w:val="36"/>
        </w:rPr>
      </w:pPr>
    </w:p>
    <w:p w14:paraId="58CA8A76" w14:textId="77777777" w:rsidR="00DD26FB" w:rsidRDefault="00DD26FB" w:rsidP="00DD26FB">
      <w:pPr>
        <w:rPr>
          <w:sz w:val="36"/>
        </w:rPr>
      </w:pPr>
    </w:p>
    <w:p w14:paraId="6D2EAD7A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5DFB0" wp14:editId="29734445">
                <wp:simplePos x="0" y="0"/>
                <wp:positionH relativeFrom="column">
                  <wp:posOffset>-233045</wp:posOffset>
                </wp:positionH>
                <wp:positionV relativeFrom="paragraph">
                  <wp:posOffset>332740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9DF32" w14:textId="77777777" w:rsidR="00D607BA" w:rsidRPr="00E77F1F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Procedimiento de </w:t>
                            </w:r>
                          </w:p>
                          <w:p w14:paraId="44546D49" w14:textId="77777777" w:rsidR="00DD26FB" w:rsidRPr="00E77F1F" w:rsidRDefault="00E77F1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Apertura, Registro y Cancelaci</w:t>
                            </w: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ó</w:t>
                            </w: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n de Cuentas Bancarias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6.2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D607BA" w:rsidRPr="00E77F1F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Procedimiento de </w:t>
                      </w:r>
                    </w:p>
                    <w:p w:rsidR="00DD26FB" w:rsidRPr="00E77F1F" w:rsidRDefault="00E77F1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0"/>
                          <w:szCs w:val="60"/>
                        </w:rPr>
                      </w:pP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Apertura, Registro y Cancelaci</w:t>
                      </w: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ó</w:t>
                      </w: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n de Cuentas Bancarias</w:t>
                      </w:r>
                    </w:p>
                  </w:txbxContent>
                </v:textbox>
              </v:rect>
            </w:pict>
          </mc:Fallback>
        </mc:AlternateContent>
      </w:r>
    </w:p>
    <w:p w14:paraId="32C20EA4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EE31B" wp14:editId="442B6D0F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59B88404" w14:textId="77777777" w:rsidR="00DD26FB" w:rsidRDefault="00DD26FB" w:rsidP="00DD26FB">
      <w:pPr>
        <w:rPr>
          <w:sz w:val="36"/>
        </w:rPr>
      </w:pPr>
    </w:p>
    <w:p w14:paraId="16AD7083" w14:textId="77777777" w:rsidR="00DD26FB" w:rsidRDefault="00DD26FB" w:rsidP="00DD26FB">
      <w:pPr>
        <w:rPr>
          <w:sz w:val="36"/>
        </w:rPr>
      </w:pPr>
    </w:p>
    <w:p w14:paraId="16C20A04" w14:textId="77777777" w:rsidR="00DD26FB" w:rsidRDefault="00DD26FB" w:rsidP="00DD26FB">
      <w:pPr>
        <w:rPr>
          <w:sz w:val="36"/>
        </w:rPr>
      </w:pPr>
    </w:p>
    <w:p w14:paraId="2D06E650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3A1A7" wp14:editId="135D6F45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7CBE6100" w14:textId="77777777" w:rsidR="00DD26FB" w:rsidRDefault="00DD26FB" w:rsidP="00DD26FB">
      <w:pPr>
        <w:rPr>
          <w:sz w:val="36"/>
        </w:rPr>
      </w:pPr>
    </w:p>
    <w:p w14:paraId="2E9C4A51" w14:textId="77777777" w:rsidR="00DD26FB" w:rsidRDefault="00DD26FB" w:rsidP="00DD26FB">
      <w:pPr>
        <w:rPr>
          <w:sz w:val="36"/>
        </w:rPr>
      </w:pPr>
    </w:p>
    <w:p w14:paraId="3CDBCF15" w14:textId="77777777" w:rsidR="00DD26FB" w:rsidRDefault="00DD26FB" w:rsidP="00DD26FB">
      <w:pPr>
        <w:rPr>
          <w:sz w:val="36"/>
        </w:rPr>
      </w:pPr>
    </w:p>
    <w:p w14:paraId="57A4214F" w14:textId="77777777" w:rsidR="00DD26FB" w:rsidRDefault="00DD26FB" w:rsidP="00DD26FB">
      <w:pPr>
        <w:rPr>
          <w:sz w:val="36"/>
        </w:rPr>
      </w:pPr>
    </w:p>
    <w:p w14:paraId="4E9EB4E1" w14:textId="58CCD6F0" w:rsidR="00AC7410" w:rsidRPr="00103C85" w:rsidRDefault="00DD26FB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Vigent</w:t>
      </w:r>
      <w:r w:rsidR="00B66CC6">
        <w:rPr>
          <w:rFonts w:asciiTheme="majorHAnsi" w:hAnsiTheme="majorHAnsi" w:cstheme="majorHAnsi"/>
          <w:sz w:val="30"/>
          <w:szCs w:val="30"/>
        </w:rPr>
        <w:t>e período 202</w:t>
      </w:r>
      <w:r w:rsidR="00911F5B">
        <w:rPr>
          <w:rFonts w:asciiTheme="majorHAnsi" w:hAnsiTheme="majorHAnsi" w:cstheme="majorHAnsi"/>
          <w:sz w:val="30"/>
          <w:szCs w:val="30"/>
        </w:rPr>
        <w:t>4</w:t>
      </w:r>
      <w:r w:rsidR="00AC7410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"/>
        <w:gridCol w:w="3579"/>
        <w:gridCol w:w="2201"/>
        <w:gridCol w:w="2208"/>
        <w:gridCol w:w="37"/>
      </w:tblGrid>
      <w:tr w:rsidR="00E77F1F" w14:paraId="1ACF232B" w14:textId="77777777" w:rsidTr="00107416">
        <w:trPr>
          <w:gridAfter w:val="1"/>
          <w:wAfter w:w="38" w:type="dxa"/>
        </w:trPr>
        <w:tc>
          <w:tcPr>
            <w:tcW w:w="4494" w:type="dxa"/>
            <w:gridSpan w:val="2"/>
          </w:tcPr>
          <w:p w14:paraId="398E0C22" w14:textId="77777777"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89" w:type="dxa"/>
            <w:gridSpan w:val="2"/>
          </w:tcPr>
          <w:p w14:paraId="19743983" w14:textId="77777777" w:rsidR="00E77F1F" w:rsidRPr="00844167" w:rsidRDefault="00E77F1F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E77F1F" w14:paraId="04F5A9DD" w14:textId="77777777" w:rsidTr="00107416">
        <w:trPr>
          <w:gridAfter w:val="1"/>
          <w:wAfter w:w="38" w:type="dxa"/>
        </w:trPr>
        <w:tc>
          <w:tcPr>
            <w:tcW w:w="4494" w:type="dxa"/>
            <w:gridSpan w:val="2"/>
          </w:tcPr>
          <w:p w14:paraId="1784F487" w14:textId="77777777"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De Apertura, Registro y Cancelación de Cuentas Bancarias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89" w:type="dxa"/>
            <w:gridSpan w:val="2"/>
          </w:tcPr>
          <w:p w14:paraId="62A59298" w14:textId="77777777"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que se debe seguir para la apertura, registro y cancelación de cuentas bancarias a nombre de Asociación Deportiva Nacional de Tiro con Armas de Caza.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77F1F" w14:paraId="593547A6" w14:textId="77777777" w:rsidTr="00107416">
        <w:trPr>
          <w:gridAfter w:val="1"/>
          <w:wAfter w:w="38" w:type="dxa"/>
        </w:trPr>
        <w:tc>
          <w:tcPr>
            <w:tcW w:w="4494" w:type="dxa"/>
            <w:gridSpan w:val="2"/>
          </w:tcPr>
          <w:p w14:paraId="5F823230" w14:textId="77777777"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Banco de Guatemala</w:t>
            </w:r>
          </w:p>
        </w:tc>
        <w:tc>
          <w:tcPr>
            <w:tcW w:w="4489" w:type="dxa"/>
            <w:gridSpan w:val="2"/>
          </w:tcPr>
          <w:p w14:paraId="20CC5067" w14:textId="77777777" w:rsidR="00E77F1F" w:rsidRDefault="00E77F1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</w:tc>
      </w:tr>
      <w:tr w:rsidR="00E77F1F" w14:paraId="74D857BE" w14:textId="77777777" w:rsidTr="00107416">
        <w:tc>
          <w:tcPr>
            <w:tcW w:w="817" w:type="dxa"/>
          </w:tcPr>
          <w:p w14:paraId="6C0A890A" w14:textId="77777777"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677" w:type="dxa"/>
          </w:tcPr>
          <w:p w14:paraId="6B382763" w14:textId="77777777"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45" w:type="dxa"/>
          </w:tcPr>
          <w:p w14:paraId="644BEA63" w14:textId="77777777"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82" w:type="dxa"/>
            <w:gridSpan w:val="2"/>
          </w:tcPr>
          <w:p w14:paraId="4F6BC7AF" w14:textId="77777777"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77F1F" w14:paraId="5CCC42AA" w14:textId="77777777" w:rsidTr="00107416">
        <w:tc>
          <w:tcPr>
            <w:tcW w:w="817" w:type="dxa"/>
          </w:tcPr>
          <w:p w14:paraId="2AAB05B1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677" w:type="dxa"/>
          </w:tcPr>
          <w:p w14:paraId="7E061FE7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Para la apertura las cuentas de depósitos monetarios en moneda nacional, se analizará el banco del sistema que ofrezca las mejores condiciones </w:t>
            </w:r>
          </w:p>
        </w:tc>
        <w:tc>
          <w:tcPr>
            <w:tcW w:w="2245" w:type="dxa"/>
          </w:tcPr>
          <w:p w14:paraId="4C02E17F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2591934A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14:paraId="77739690" w14:textId="77777777" w:rsidTr="00107416">
        <w:tc>
          <w:tcPr>
            <w:tcW w:w="817" w:type="dxa"/>
          </w:tcPr>
          <w:p w14:paraId="23266A39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677" w:type="dxa"/>
          </w:tcPr>
          <w:p w14:paraId="13C5C6DB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propondrá al Comité Ejecutivo el banco en el que se desea abrir una cuenta monetaria y para qué fin de ASOTAC</w:t>
            </w:r>
          </w:p>
        </w:tc>
        <w:tc>
          <w:tcPr>
            <w:tcW w:w="2245" w:type="dxa"/>
          </w:tcPr>
          <w:p w14:paraId="256A713D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82" w:type="dxa"/>
            <w:gridSpan w:val="2"/>
          </w:tcPr>
          <w:p w14:paraId="7F86F50B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14:paraId="3B205590" w14:textId="77777777" w:rsidTr="00107416">
        <w:tc>
          <w:tcPr>
            <w:tcW w:w="817" w:type="dxa"/>
          </w:tcPr>
          <w:p w14:paraId="2863FDFC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677" w:type="dxa"/>
          </w:tcPr>
          <w:p w14:paraId="1F138723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Llenar la forma oficial del Banco de Guatemala para solicitar la apertura de la cuenta y se adjuntará la documentación siguiente: copia de DPI de las personas que firman, copia de Nombramiento del Representante Legal, copia de los Estatutos, copia del RTU.</w:t>
            </w:r>
          </w:p>
        </w:tc>
        <w:tc>
          <w:tcPr>
            <w:tcW w:w="2245" w:type="dxa"/>
          </w:tcPr>
          <w:p w14:paraId="4B341458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82" w:type="dxa"/>
            <w:gridSpan w:val="2"/>
          </w:tcPr>
          <w:p w14:paraId="27FD4A83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1BC1CAAB" w14:textId="77777777" w:rsidTr="00107416">
        <w:tc>
          <w:tcPr>
            <w:tcW w:w="817" w:type="dxa"/>
          </w:tcPr>
          <w:p w14:paraId="627F4436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677" w:type="dxa"/>
          </w:tcPr>
          <w:p w14:paraId="4768AFB9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elabora Oficio para remitir la solicitud y documentación de respaldo </w:t>
            </w:r>
          </w:p>
        </w:tc>
        <w:tc>
          <w:tcPr>
            <w:tcW w:w="2245" w:type="dxa"/>
          </w:tcPr>
          <w:p w14:paraId="162A197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681F81C1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14:paraId="4B1FEF33" w14:textId="77777777" w:rsidTr="00107416">
        <w:tc>
          <w:tcPr>
            <w:tcW w:w="817" w:type="dxa"/>
          </w:tcPr>
          <w:p w14:paraId="7488B7C4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677" w:type="dxa"/>
          </w:tcPr>
          <w:p w14:paraId="3BFEDC81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Banco de Guatemala, resolverá si autoriza la apertura de la cuenta y notificará a ASOTAC</w:t>
            </w:r>
          </w:p>
        </w:tc>
        <w:tc>
          <w:tcPr>
            <w:tcW w:w="2245" w:type="dxa"/>
          </w:tcPr>
          <w:p w14:paraId="3B5E15E8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237B4557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Banco de Guatemala</w:t>
            </w:r>
          </w:p>
        </w:tc>
      </w:tr>
      <w:tr w:rsidR="00E77F1F" w14:paraId="2CFAAF18" w14:textId="77777777" w:rsidTr="00107416">
        <w:tc>
          <w:tcPr>
            <w:tcW w:w="817" w:type="dxa"/>
          </w:tcPr>
          <w:p w14:paraId="23285424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677" w:type="dxa"/>
          </w:tcPr>
          <w:p w14:paraId="5D30B009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Al contar con la autorización de la apertura del Banco de Guatemala, se procederá a realizar el llenado de las formas bancarias y firma de tarjetas de registro de firmas con la documentación de respaldo </w:t>
            </w:r>
          </w:p>
        </w:tc>
        <w:tc>
          <w:tcPr>
            <w:tcW w:w="2245" w:type="dxa"/>
          </w:tcPr>
          <w:p w14:paraId="2FDE23A2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7809D9EF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6B6C6D29" w14:textId="77777777" w:rsidTr="00107416">
        <w:tc>
          <w:tcPr>
            <w:tcW w:w="817" w:type="dxa"/>
          </w:tcPr>
          <w:p w14:paraId="281BFC91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677" w:type="dxa"/>
          </w:tcPr>
          <w:p w14:paraId="54B52024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Aprobada la apertura de la cuenta en el banco del sistema, se procederá a notificar a la Tesorería Nacional del Ministerio de Finanzas Públicas </w:t>
            </w:r>
          </w:p>
        </w:tc>
        <w:tc>
          <w:tcPr>
            <w:tcW w:w="2245" w:type="dxa"/>
          </w:tcPr>
          <w:p w14:paraId="439EDA4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40287710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14:paraId="5E0FC652" w14:textId="77777777" w:rsidTr="00107416">
        <w:tc>
          <w:tcPr>
            <w:tcW w:w="817" w:type="dxa"/>
          </w:tcPr>
          <w:p w14:paraId="39A4C19F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677" w:type="dxa"/>
          </w:tcPr>
          <w:p w14:paraId="00A4B0D4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Solicitar la habilitación de hojas móviles  para  los  registros  de  la cuenta  bancaria  y  hojas móviles  para  la  elaboración  de  </w:t>
            </w:r>
            <w:r>
              <w:rPr>
                <w:lang w:val="es-MX"/>
              </w:rPr>
              <w:lastRenderedPageBreak/>
              <w:t>conciliaciones bancarias a la Contraloría General de Cuentas  para su control</w:t>
            </w:r>
          </w:p>
        </w:tc>
        <w:tc>
          <w:tcPr>
            <w:tcW w:w="2245" w:type="dxa"/>
          </w:tcPr>
          <w:p w14:paraId="4920741B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15 minutos</w:t>
            </w:r>
          </w:p>
        </w:tc>
        <w:tc>
          <w:tcPr>
            <w:tcW w:w="2282" w:type="dxa"/>
            <w:gridSpan w:val="2"/>
          </w:tcPr>
          <w:p w14:paraId="7D13076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14:paraId="717108DE" w14:textId="77777777" w:rsidTr="00107416">
        <w:tc>
          <w:tcPr>
            <w:tcW w:w="817" w:type="dxa"/>
          </w:tcPr>
          <w:p w14:paraId="1E3811C8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677" w:type="dxa"/>
          </w:tcPr>
          <w:p w14:paraId="680EDEE6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 operación de depósito, transferencia, intereses, pago de cheques y notas de débito, crédito y conciliaciones bancarias deberán quedar registradas en las hojas habilitadas</w:t>
            </w:r>
          </w:p>
        </w:tc>
        <w:tc>
          <w:tcPr>
            <w:tcW w:w="2245" w:type="dxa"/>
          </w:tcPr>
          <w:p w14:paraId="1D8A1511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82" w:type="dxa"/>
            <w:gridSpan w:val="2"/>
          </w:tcPr>
          <w:p w14:paraId="5556FC2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  <w:p w14:paraId="051428E2" w14:textId="77777777" w:rsidR="00E77F1F" w:rsidRDefault="00E77F1F" w:rsidP="00107416">
            <w:pPr>
              <w:jc w:val="center"/>
              <w:rPr>
                <w:lang w:val="es-MX"/>
              </w:rPr>
            </w:pPr>
          </w:p>
        </w:tc>
      </w:tr>
      <w:tr w:rsidR="00E77F1F" w14:paraId="5AA95B16" w14:textId="77777777" w:rsidTr="00107416">
        <w:tc>
          <w:tcPr>
            <w:tcW w:w="817" w:type="dxa"/>
          </w:tcPr>
          <w:p w14:paraId="186E1148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677" w:type="dxa"/>
          </w:tcPr>
          <w:p w14:paraId="5199A889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Todas las operaciones de ingresos y egresos que se efectúen en la cuenta monetaria deberán quedar reflejadas en la caja fiscal del mes correspondiente</w:t>
            </w:r>
          </w:p>
        </w:tc>
        <w:tc>
          <w:tcPr>
            <w:tcW w:w="2245" w:type="dxa"/>
          </w:tcPr>
          <w:p w14:paraId="0EE35E2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439F8B21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14:paraId="2DD381D7" w14:textId="77777777" w:rsidTr="00107416">
        <w:tc>
          <w:tcPr>
            <w:tcW w:w="817" w:type="dxa"/>
          </w:tcPr>
          <w:p w14:paraId="2E183CA0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677" w:type="dxa"/>
          </w:tcPr>
          <w:p w14:paraId="72DA9399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Cada año se deberá de revisar la utilización de las cuentas monetarias habilitadas y autorizadas y de no estar utilizando se deberá proponer la cancelación de la misma</w:t>
            </w:r>
            <w:r w:rsidRPr="00CC4BB7">
              <w:rPr>
                <w:lang w:val="es-MX"/>
              </w:rPr>
              <w:t xml:space="preserve"> </w:t>
            </w:r>
          </w:p>
        </w:tc>
        <w:tc>
          <w:tcPr>
            <w:tcW w:w="2245" w:type="dxa"/>
          </w:tcPr>
          <w:p w14:paraId="465D4DBE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82" w:type="dxa"/>
            <w:gridSpan w:val="2"/>
          </w:tcPr>
          <w:p w14:paraId="047C40ED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6D956A46" w14:textId="77777777" w:rsidTr="00107416">
        <w:tc>
          <w:tcPr>
            <w:tcW w:w="817" w:type="dxa"/>
          </w:tcPr>
          <w:p w14:paraId="2628E25C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677" w:type="dxa"/>
          </w:tcPr>
          <w:p w14:paraId="0980A151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Para cancelar las cuentas monetarias se deberá solicitar por escrito al banco del sistema que indica cual es el procedimiento interno para realizarlo</w:t>
            </w:r>
          </w:p>
        </w:tc>
        <w:tc>
          <w:tcPr>
            <w:tcW w:w="2245" w:type="dxa"/>
          </w:tcPr>
          <w:p w14:paraId="26B95541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2F085443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783B2160" w14:textId="77777777" w:rsidTr="00107416">
        <w:tc>
          <w:tcPr>
            <w:tcW w:w="817" w:type="dxa"/>
          </w:tcPr>
          <w:p w14:paraId="181AFAC4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677" w:type="dxa"/>
          </w:tcPr>
          <w:p w14:paraId="5E12E414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documentará y se cumplirán los requisitos para la cancelación de la cuenta monetaria </w:t>
            </w:r>
          </w:p>
        </w:tc>
        <w:tc>
          <w:tcPr>
            <w:tcW w:w="2245" w:type="dxa"/>
          </w:tcPr>
          <w:p w14:paraId="15C4B9EC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371D405E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5BC287AC" w14:textId="77777777" w:rsidTr="00107416">
        <w:tc>
          <w:tcPr>
            <w:tcW w:w="817" w:type="dxa"/>
          </w:tcPr>
          <w:p w14:paraId="0F7C47CE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677" w:type="dxa"/>
          </w:tcPr>
          <w:p w14:paraId="2DDB5AEA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Con la nota de autorizado la cancelación de cuenta monetaria se notificará a la Tesorería Nacional del Ministerio de Finanzas Públicas y al Banco de Guatemala</w:t>
            </w:r>
          </w:p>
        </w:tc>
        <w:tc>
          <w:tcPr>
            <w:tcW w:w="2245" w:type="dxa"/>
          </w:tcPr>
          <w:p w14:paraId="533B9BDF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30D7A430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14:paraId="70EF3A34" w14:textId="77777777" w:rsidTr="00107416">
        <w:tc>
          <w:tcPr>
            <w:tcW w:w="817" w:type="dxa"/>
          </w:tcPr>
          <w:p w14:paraId="50DBC134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677" w:type="dxa"/>
          </w:tcPr>
          <w:p w14:paraId="198FBB10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notificará a la Contraloría General de Cuentas y se deberá realizar la liquidación de las hojas móviles utilizadas y las pendientes de utilizar</w:t>
            </w:r>
          </w:p>
        </w:tc>
        <w:tc>
          <w:tcPr>
            <w:tcW w:w="2245" w:type="dxa"/>
          </w:tcPr>
          <w:p w14:paraId="3A08201E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82" w:type="dxa"/>
            <w:gridSpan w:val="2"/>
          </w:tcPr>
          <w:p w14:paraId="64C4E76D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14:paraId="5A391F6D" w14:textId="77777777" w:rsidTr="00107416">
        <w:tc>
          <w:tcPr>
            <w:tcW w:w="817" w:type="dxa"/>
          </w:tcPr>
          <w:p w14:paraId="2498D587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677" w:type="dxa"/>
          </w:tcPr>
          <w:p w14:paraId="1644609B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resguardará el archivo de todas las gestiones realizadas para la cuenta monetaria para futuras consultas </w:t>
            </w:r>
          </w:p>
        </w:tc>
        <w:tc>
          <w:tcPr>
            <w:tcW w:w="2245" w:type="dxa"/>
          </w:tcPr>
          <w:p w14:paraId="583AD580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641D7C5E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</w:tbl>
    <w:p w14:paraId="5C778D69" w14:textId="77777777" w:rsidR="00D607BA" w:rsidRDefault="00D607BA">
      <w:pPr>
        <w:rPr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77F1F" w14:paraId="190661E9" w14:textId="77777777" w:rsidTr="00E77F1F">
        <w:tc>
          <w:tcPr>
            <w:tcW w:w="2943" w:type="dxa"/>
          </w:tcPr>
          <w:p w14:paraId="7178D5CD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43AEFF73" w14:textId="77777777" w:rsidR="00E77F1F" w:rsidRDefault="00E77F1F" w:rsidP="00107416">
            <w:pPr>
              <w:jc w:val="center"/>
              <w:rPr>
                <w:lang w:val="es-MX"/>
              </w:rPr>
            </w:pPr>
          </w:p>
          <w:p w14:paraId="2B8AC0DC" w14:textId="77777777" w:rsidR="00E77F1F" w:rsidRDefault="00E77F1F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051588D9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14:paraId="262FA6E7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0D22BCFE" w14:textId="77777777" w:rsidR="00E77F1F" w:rsidRDefault="00E77F1F" w:rsidP="00107416">
            <w:pPr>
              <w:jc w:val="center"/>
              <w:rPr>
                <w:lang w:val="es-MX"/>
              </w:rPr>
            </w:pPr>
          </w:p>
          <w:p w14:paraId="08B92449" w14:textId="77777777" w:rsidR="00E77F1F" w:rsidRDefault="00E77F1F" w:rsidP="00107416">
            <w:pPr>
              <w:jc w:val="center"/>
              <w:rPr>
                <w:lang w:val="es-MX"/>
              </w:rPr>
            </w:pPr>
          </w:p>
          <w:p w14:paraId="41B1A6FD" w14:textId="77777777" w:rsidR="00E77F1F" w:rsidRDefault="00E77F1F" w:rsidP="00107416">
            <w:pPr>
              <w:jc w:val="center"/>
              <w:rPr>
                <w:lang w:val="es-MX"/>
              </w:rPr>
            </w:pPr>
          </w:p>
          <w:p w14:paraId="576000AA" w14:textId="77777777" w:rsidR="00E77F1F" w:rsidRDefault="00E77F1F" w:rsidP="00107416">
            <w:pPr>
              <w:jc w:val="center"/>
              <w:rPr>
                <w:lang w:val="es-MX"/>
              </w:rPr>
            </w:pPr>
          </w:p>
        </w:tc>
      </w:tr>
    </w:tbl>
    <w:p w14:paraId="24E6ED8E" w14:textId="77777777" w:rsidR="00E77F1F" w:rsidRPr="00C67EB2" w:rsidRDefault="00E77F1F" w:rsidP="00E77F1F">
      <w:pPr>
        <w:rPr>
          <w:sz w:val="2"/>
          <w:szCs w:val="2"/>
          <w:lang w:val="es-MX"/>
        </w:rPr>
      </w:pPr>
    </w:p>
    <w:p w14:paraId="4A34261E" w14:textId="77777777" w:rsidR="00D607BA" w:rsidRDefault="00D607BA">
      <w:pPr>
        <w:rPr>
          <w:lang w:val="es-MX"/>
        </w:rPr>
      </w:pPr>
    </w:p>
    <w:p w14:paraId="4DA73C51" w14:textId="77777777" w:rsidR="00D607BA" w:rsidRDefault="00E77F1F" w:rsidP="00E77F1F">
      <w:pPr>
        <w:spacing w:after="0" w:line="240" w:lineRule="auto"/>
        <w:rPr>
          <w:lang w:val="es-MX"/>
        </w:rPr>
      </w:pPr>
      <w:r w:rsidRPr="00E77F1F">
        <w:rPr>
          <w:noProof/>
          <w:lang w:eastAsia="es-GT"/>
        </w:rPr>
        <w:lastRenderedPageBreak/>
        <w:drawing>
          <wp:inline distT="0" distB="0" distL="0" distR="0" wp14:anchorId="02825741" wp14:editId="5D59FA08">
            <wp:extent cx="6373984" cy="8576758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92" cy="85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7BA" w:rsidSect="000E24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021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0E2487"/>
    <w:rsid w:val="00103C85"/>
    <w:rsid w:val="00130709"/>
    <w:rsid w:val="001362BB"/>
    <w:rsid w:val="0017452E"/>
    <w:rsid w:val="00227ED8"/>
    <w:rsid w:val="00253D23"/>
    <w:rsid w:val="0031047A"/>
    <w:rsid w:val="0031097D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11F5B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66CC6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576C5"/>
    <w:rsid w:val="00E60AD3"/>
    <w:rsid w:val="00E7640B"/>
    <w:rsid w:val="00E77F1F"/>
    <w:rsid w:val="00E9200B"/>
    <w:rsid w:val="00EF074D"/>
    <w:rsid w:val="00F17160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C0276C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1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15D0B-3A7A-4469-81F5-6CAFDD99B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547</Words>
  <Characters>3011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</dc:creator>
  <cp:lastModifiedBy>Juan Jose Bojorquez</cp:lastModifiedBy>
  <cp:revision>3</cp:revision>
  <cp:lastPrinted>2014-10-03T18:11:00Z</cp:lastPrinted>
  <dcterms:created xsi:type="dcterms:W3CDTF">2023-02-09T16:36:00Z</dcterms:created>
  <dcterms:modified xsi:type="dcterms:W3CDTF">2024-04-30T22:35:00Z</dcterms:modified>
</cp:coreProperties>
</file>